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СПб ГКУ «Центр архивных документов, методических материалов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статистической отчетности в сфере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3540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540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540" w:firstLine="709"/>
        <w:jc w:val="center"/>
        <w:spacing w:after="0" w:line="240" w:lineRule="auto"/>
        <w:tabs>
          <w:tab w:val="left" w:pos="368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540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УТВЕРЖДАЮ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395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 Центра архивных документов, методических материалов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статистической отчетности в сфере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395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___________к.э.н.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И.Ю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Моторина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395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2024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368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МЕТОДИЧЕСКИЕ РЕКОМЕНДАЦИИ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анализу информации, представленной на официальных сайтах образовательных организаций Санкт-Петербурга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Санкт-Петербург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2024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Методические рекомендации по анализу информации, представленной на официальных сайтах образовательных организаций: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 предназначены для специалистов и руководителей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осуществляющих деятельность по анализу представл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информации на официальных сайтах образовательных организаций, подведомственных Комитету по образованию Санкт-Петербурга, и иных заинтересованных лиц. В методических рекомендациях представлены основные аспекты и нормативные акты, необходимые для анали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представленной на официальных сайтах образовательных организаций Санкт-Петербурга, ключевые показатели, последовательность и взаимосвязь основных разделов, а также специфические особенности структуры предоставления информации образовательных учреждений.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  <w:t xml:space="preserve">© Центр архивных документов, методических материалов и статистической отчетности в сфере образования, 2024.</w:t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202124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  <w:r>
        <w:rPr>
          <w:rFonts w:ascii="Times New Roman" w:hAnsi="Times New Roman" w:eastAsia="Times New Roman" w:cs="Times New Roman"/>
          <w:color w:val="202124"/>
          <w:sz w:val="28"/>
          <w:szCs w:val="28"/>
        </w:rPr>
      </w:r>
    </w:p>
    <w:sdt>
      <w:sdtPr>
        <w15:appearance w15:val="boundingBox"/>
        <w:id w:val="-1260363492"/>
        <w:docPartObj>
          <w:docPartGallery w:val="Table of Contents"/>
          <w:docPartUnique w:val="true"/>
        </w:docPartObj>
        <w:rPr>
          <w:rFonts w:ascii="Times New Roman" w:hAnsi="Times New Roman" w:cs="Times New Roman"/>
          <w:sz w:val="24"/>
          <w:szCs w:val="24"/>
        </w:rPr>
      </w:sdtPr>
      <w:sdtContent>
        <w:p>
          <w:pPr>
            <w:pStyle w:val="1042"/>
            <w:ind w:firstLine="709"/>
            <w:jc w:val="center"/>
            <w:rPr>
              <w:rFonts w:ascii="Times New Roman" w:hAnsi="Times New Roman" w:eastAsia="Times New Roman" w:cs="Times New Roman"/>
              <w:color w:val="202124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Содержание</w:t>
          </w:r>
          <w:r>
            <w:rPr>
              <w:rFonts w:ascii="Times New Roman" w:hAnsi="Times New Roman" w:eastAsia="Times New Roman" w:cs="Times New Roman"/>
              <w:color w:val="202124"/>
              <w:sz w:val="28"/>
              <w:szCs w:val="28"/>
            </w:rPr>
          </w:r>
        </w:p>
        <w:p>
          <w:pPr>
            <w:pStyle w:val="1033"/>
            <w:tabs>
              <w:tab w:val="left" w:pos="567" w:leader="none"/>
              <w:tab w:val="right" w:pos="9629" w:leader="dot"/>
            </w:tabs>
            <w:rPr>
              <w:rFonts w:ascii="Times New Roman" w:hAnsi="Times New Roman" w:cs="Times New Roman" w:eastAsiaTheme="minorEastAsia"/>
              <w:b/>
              <w:sz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tooltip="#_Toc183009802" w:anchor="_Toc183009802" w:history="1"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b/>
                <w:sz w:val="28"/>
              </w:rPr>
              <w:tab/>
            </w:r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НАЗНАЧЕНИЕ И ОБЛАСТЬ ПРИМЕНЕНИЯ ДОКУМЕНТА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PAGEREF _Toc183009802 \h </w:instrTex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b/>
              <w:sz w:val="28"/>
            </w:rPr>
          </w:r>
        </w:p>
        <w:p>
          <w:pPr>
            <w:pStyle w:val="1033"/>
            <w:tabs>
              <w:tab w:val="left" w:pos="567" w:leader="none"/>
              <w:tab w:val="right" w:pos="9629" w:leader="dot"/>
            </w:tabs>
            <w:rPr>
              <w:rFonts w:ascii="Times New Roman" w:hAnsi="Times New Roman" w:cs="Times New Roman" w:eastAsiaTheme="minorEastAsia"/>
              <w:b/>
              <w:sz w:val="28"/>
            </w:rPr>
          </w:pPr>
          <w:r/>
          <w:hyperlink w:tooltip="#_Toc183009803" w:anchor="_Toc183009803" w:history="1"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b/>
                <w:sz w:val="28"/>
              </w:rPr>
              <w:tab/>
            </w:r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ОСНОВНЫЕ НОРМАТИВНЫЕ ПРАВОВЫЕ АКТЫ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PAGEREF _Toc183009803 \h </w:instrTex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b/>
              <w:sz w:val="28"/>
            </w:rPr>
          </w:r>
        </w:p>
        <w:p>
          <w:pPr>
            <w:pStyle w:val="1033"/>
            <w:tabs>
              <w:tab w:val="left" w:pos="567" w:leader="none"/>
              <w:tab w:val="right" w:pos="9629" w:leader="dot"/>
            </w:tabs>
            <w:rPr>
              <w:rFonts w:ascii="Times New Roman" w:hAnsi="Times New Roman" w:cs="Times New Roman" w:eastAsiaTheme="minorEastAsia"/>
              <w:b/>
              <w:sz w:val="28"/>
            </w:rPr>
          </w:pPr>
          <w:r/>
          <w:hyperlink w:tooltip="#_Toc183009804" w:anchor="_Toc183009804" w:history="1"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b/>
                <w:sz w:val="28"/>
              </w:rPr>
              <w:tab/>
            </w:r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ТЕРМИНЫ И ОПРЕДЕЛЕНИЯ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PAGEREF _Toc183009804 \h </w:instrTex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b/>
              <w:sz w:val="28"/>
            </w:rPr>
          </w:r>
        </w:p>
        <w:p>
          <w:pPr>
            <w:pStyle w:val="1033"/>
            <w:tabs>
              <w:tab w:val="left" w:pos="567" w:leader="none"/>
              <w:tab w:val="right" w:pos="9629" w:leader="dot"/>
            </w:tabs>
            <w:rPr>
              <w:rFonts w:ascii="Times New Roman" w:hAnsi="Times New Roman" w:cs="Times New Roman" w:eastAsiaTheme="minorEastAsia"/>
              <w:b/>
              <w:sz w:val="28"/>
            </w:rPr>
          </w:pPr>
          <w:r/>
          <w:hyperlink w:tooltip="#_Toc183009805" w:anchor="_Toc183009805" w:history="1"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4.</w:t>
            </w:r>
            <w:r>
              <w:rPr>
                <w:rFonts w:ascii="Times New Roman" w:hAnsi="Times New Roman" w:cs="Times New Roman" w:eastAsiaTheme="minorEastAsia"/>
                <w:b/>
                <w:sz w:val="28"/>
              </w:rPr>
              <w:tab/>
            </w:r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ОБЩИЕ ТРЕБОВАНИЯ К СОДЕРЖАНИЮ ИНФОРМАЦИИ САЙТОВ ОБРАЗОВАТЕЛЬНЫХ УЧРЕЖДЕНИЙ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PAGEREF _Toc183009805 \h </w:instrTex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b/>
              <w:sz w:val="28"/>
            </w:rPr>
          </w:r>
        </w:p>
        <w:p>
          <w:pPr>
            <w:pStyle w:val="1033"/>
            <w:tabs>
              <w:tab w:val="left" w:pos="567" w:leader="none"/>
              <w:tab w:val="right" w:pos="9629" w:leader="dot"/>
            </w:tabs>
            <w:rPr>
              <w:rFonts w:ascii="Times New Roman" w:hAnsi="Times New Roman" w:cs="Times New Roman" w:eastAsiaTheme="minorEastAsia"/>
              <w:b/>
              <w:sz w:val="28"/>
            </w:rPr>
          </w:pPr>
          <w:r/>
          <w:hyperlink w:tooltip="#_Toc183009806" w:anchor="_Toc183009806" w:history="1"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5.</w:t>
            </w:r>
            <w:r>
              <w:rPr>
                <w:rFonts w:ascii="Times New Roman" w:hAnsi="Times New Roman" w:cs="Times New Roman" w:eastAsiaTheme="minorEastAsia"/>
                <w:b/>
                <w:sz w:val="28"/>
              </w:rPr>
              <w:tab/>
            </w:r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АСПЕКТЫ ОБЩЕГО АНАЛИЗА ИНФОРМАЦИИ САЙТОВ ОБРАЗОВАТЕЛЬНОЙ ОРГАНИЗАЦИИ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PAGEREF _Toc183009806 \h </w:instrTex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b/>
              <w:sz w:val="28"/>
            </w:rPr>
          </w:r>
        </w:p>
        <w:p>
          <w:pPr>
            <w:pStyle w:val="1033"/>
            <w:tabs>
              <w:tab w:val="left" w:pos="567" w:leader="none"/>
              <w:tab w:val="right" w:pos="9629" w:leader="dot"/>
            </w:tabs>
            <w:rPr>
              <w:rFonts w:asciiTheme="minorHAnsi" w:hAnsiTheme="minorHAnsi" w:eastAsiaTheme="minorEastAsia" w:cstheme="minorBidi"/>
            </w:rPr>
          </w:pPr>
          <w:r/>
          <w:hyperlink w:tooltip="#_Toc183009807" w:anchor="_Toc183009807" w:history="1"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6.</w:t>
            </w:r>
            <w:r>
              <w:rPr>
                <w:rFonts w:ascii="Times New Roman" w:hAnsi="Times New Roman" w:cs="Times New Roman" w:eastAsiaTheme="minorEastAsia"/>
                <w:b/>
                <w:sz w:val="28"/>
              </w:rPr>
              <w:tab/>
            </w:r>
            <w:r>
              <w:rPr>
                <w:rStyle w:val="1051"/>
                <w:rFonts w:ascii="Times New Roman" w:hAnsi="Times New Roman" w:cs="Times New Roman"/>
                <w:b/>
                <w:sz w:val="28"/>
              </w:rPr>
              <w:t xml:space="preserve">СРОКИ И ОСНОВНЫЕ ТРЕБОВАНИЯ ПРОВЕДЕНИЯ АНАЛИЗА ИНФОРМАЦИОННОЙ ОТКРЫТОСТИ ОФИЦИАЛЬНОГО САЙТА ОБРАЗОВАТЕЛЬНОЙ ОРГАНИЗАЦИИ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PAGEREF _Toc183009807 \h </w:instrTex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</w:rPr>
          </w:r>
        </w:p>
        <w:p>
          <w:pPr>
            <w:ind w:firstLine="709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sdtContent>
    </w:sdt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6" w:bottom="1134" w:left="1701" w:header="708" w:footer="708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8"/>
        <w:numPr>
          <w:ilvl w:val="0"/>
          <w:numId w:val="1"/>
        </w:numPr>
        <w:ind w:left="0" w:firstLine="709"/>
        <w:rPr>
          <w:sz w:val="28"/>
        </w:rPr>
      </w:pPr>
      <w:r/>
      <w:bookmarkStart w:id="0" w:name="_Toc183009802"/>
      <w:r>
        <w:rPr>
          <w:sz w:val="28"/>
        </w:rPr>
        <w:t xml:space="preserve">НАЗНАЧЕНИЕ И ОБЛАСТЬ ПРИМЕНЕНИЯ ДОКУМЕНТА</w:t>
      </w:r>
      <w:bookmarkEnd w:id="0"/>
      <w:r/>
      <w:r>
        <w:rPr>
          <w:sz w:val="28"/>
        </w:rPr>
      </w:r>
    </w:p>
    <w:p>
      <w:pPr>
        <w:pStyle w:val="758"/>
        <w:ind w:left="426" w:right="708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Методические рекомендации предназначены для анализа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представленной на официальных сайтах образовательных организаций Санкт-Петербурга на основе изучения и сопоставления информации по наполняемости и содержанию специальных разделов сайтов образовательных учреждений в сети «Интернет»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8"/>
        <w:numPr>
          <w:ilvl w:val="0"/>
          <w:numId w:val="1"/>
        </w:numPr>
        <w:ind w:left="0" w:firstLine="709"/>
        <w:rPr>
          <w:sz w:val="28"/>
        </w:rPr>
      </w:pPr>
      <w:r/>
      <w:bookmarkStart w:id="1" w:name="_Toc183009803"/>
      <w:r>
        <w:rPr>
          <w:sz w:val="28"/>
        </w:rPr>
        <w:t xml:space="preserve">ОСНОВНЫЕ НОРМАТИВНЫЕ ПРАВОВЫЕ АКТЫ</w:t>
      </w:r>
      <w:bookmarkEnd w:id="1"/>
      <w:r/>
      <w:r>
        <w:rPr>
          <w:sz w:val="28"/>
        </w:rPr>
      </w:r>
    </w:p>
    <w:p>
      <w:pPr>
        <w:pStyle w:val="758"/>
        <w:ind w:left="426" w:right="708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 (Ст. 29,30);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от 06.04.2011 № 63-ФЗ «Об электронной подписи» (редакция от 05.08.2024г.);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Правительства РФ от 05.08.2013 № 662 «Об осуществлении мониторинга системы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Правительства РФ от 20.10.2021 № 1802 «Об утверждении Правил размещения на официальном сайте образов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Рособрнадзора от 10.06.2019 № 796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 (действует до 01.01.2025)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Рособрнадзора от 27.08.2024 № 1735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 (действует с 01.01.2025)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2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 представления информации об образовательной организации в открытых источниках с учетом соблюдения требований законодательства в сфере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ерсия 8.9.1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8"/>
        <w:ind w:left="0" w:firstLine="709"/>
        <w:jc w:val="left"/>
        <w:spacing w:line="276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sectPr>
          <w:footerReference w:type="default" r:id="rId11"/>
          <w:footnotePr>
            <w:numFmt w:val="chicago"/>
          </w:footnotePr>
          <w:endnotePr/>
          <w:type w:val="nextPage"/>
          <w:pgSz w:w="11906" w:h="16838" w:orient="portrait"/>
          <w:pgMar w:top="1418" w:right="850" w:bottom="1134" w:left="1701" w:header="1134" w:footer="708" w:gutter="0"/>
          <w:cols w:num="1" w:sep="0" w:space="720" w:equalWidth="1"/>
          <w:docGrid w:linePitch="360"/>
        </w:sect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r>
    </w:p>
    <w:p>
      <w:pPr>
        <w:pStyle w:val="758"/>
        <w:numPr>
          <w:ilvl w:val="0"/>
          <w:numId w:val="1"/>
        </w:numPr>
        <w:ind w:left="0" w:firstLine="709"/>
        <w:spacing w:line="276" w:lineRule="auto"/>
        <w:rPr>
          <w:bCs w:val="0"/>
          <w:sz w:val="28"/>
          <w:szCs w:val="28"/>
        </w:rPr>
      </w:pPr>
      <w:r/>
      <w:bookmarkStart w:id="2" w:name="_Toc183009804"/>
      <w:r>
        <w:rPr>
          <w:bCs w:val="0"/>
          <w:sz w:val="28"/>
          <w:szCs w:val="28"/>
        </w:rPr>
        <w:t xml:space="preserve">ТЕРМИНЫ И ОПРЕДЕЛЕНИЯ</w:t>
      </w:r>
      <w:bookmarkEnd w:id="2"/>
      <w:r/>
      <w:r>
        <w:rPr>
          <w:bCs w:val="0"/>
          <w:sz w:val="28"/>
          <w:szCs w:val="28"/>
        </w:rPr>
      </w:r>
    </w:p>
    <w:p>
      <w:pPr>
        <w:pStyle w:val="758"/>
        <w:ind w:left="142"/>
        <w:jc w:val="left"/>
        <w:spacing w:line="276" w:lineRule="auto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Адаптированная образовательная программа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бразовательная программа, адаптиро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Образовательная организация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 от 29.12.2012 № 273-ФЗ «Об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образовании в Российской Федерации»,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Обучающийся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физическое лицо, осваивающее образовательную программу.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Обучающийся с ограниченными возможностями здоровья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сайта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группа страниц, объединённых одной темой, имеющих одинаковое оформление, отличающихся друг от друга только содержанием.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Сайт, официальный сайт образовательной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официальный сайт образовательной организации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Средства обучения и воспитания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приборы, оборудование, включая спортивное оборудование и инвентарь, инструменты (в том числе музыкальные), учебно-наглядные пособи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Уровень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завершенный цикл образования, характеризующийся определенной единой совокупностью требований.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Федеральные государственные образовательные стандарты 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ФГОС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совокупность обязательных требований к образованию определенного уровня и (или) к профессии, специальности и направлению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Электронный документ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документированная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Электронная подпись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418" w:right="850" w:bottom="1134" w:left="1701" w:header="1134" w:footer="708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8"/>
        <w:numPr>
          <w:ilvl w:val="0"/>
          <w:numId w:val="1"/>
        </w:numPr>
        <w:ind w:left="0" w:firstLine="709"/>
        <w:spacing w:line="276" w:lineRule="auto"/>
        <w:rPr>
          <w:b w:val="0"/>
          <w:bCs w:val="0"/>
          <w:sz w:val="32"/>
          <w:szCs w:val="28"/>
        </w:rPr>
      </w:pPr>
      <w:r/>
      <w:bookmarkStart w:id="3" w:name="_Toc183009805"/>
      <w:r>
        <w:rPr>
          <w:sz w:val="28"/>
        </w:rPr>
        <w:t xml:space="preserve">ОБЩИЕ ТРЕБОВАНИЯ К СОДЕРЖАНИЮ ИНФОРМАЦИИ САЙТОВ ОБРАЗОВАТЕЛЬНЫХ УЧРЕЖДЕНИЙ</w:t>
      </w:r>
      <w:bookmarkEnd w:id="3"/>
      <w:r/>
      <w:r>
        <w:rPr>
          <w:b w:val="0"/>
          <w:bCs w:val="0"/>
          <w:sz w:val="32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требованиям,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на официальном сайте должен быть создан 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«Сведения об образовательной организации»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Информация в разделе представляется в виде набора страниц, и (или)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ерархического списка, и (или) ссылок на другие разделы сайта. Механизм навигации должен быть представлен на каждой странице раздела. Доступ к разделу должен осуществляться с главной (основной) страницы сайта, а также из основного навигационного меню сайта.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 должен иметь версию для слабовидящих.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Образовательная организация обязана обновлять сведения не позднее 10 рабочих дней со дня их создания, получения или внесения в них соответствующих изменений.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Пользователю официа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«Интернет».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Вся информация размещается на официальном сайте в тексто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законом «Об электронной подписи» (в части документов, самостоятельно разрабатываемых и утверждаемы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образовательной организацией), графическом форматах, а также в форматах инфографики, мультимедиа, электронного документа, открытых данных и базы данных. Текстовые и табличные материалы дополнительно к гипертекстовому формату размещаются на Сайте в виде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Технологические и программные средства, которые используются для функционирования официального сайта, должны обеспечивать: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обеспечения, предусматривающего взимание с пользователя информации платы;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защиту информации от уничтожения, модификации и блокирования доступа к ней, а также иных неправомерных действий в отношении нее;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возможность копирования информации на резервный носитель, обеспечивающий ее восстановление.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Допускается публикация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8"/>
        <w:numPr>
          <w:ilvl w:val="0"/>
          <w:numId w:val="1"/>
        </w:numPr>
        <w:ind w:left="0" w:firstLine="709"/>
      </w:pPr>
      <w:r/>
      <w:bookmarkStart w:id="4" w:name="_Toc183009806"/>
      <w:r>
        <w:t xml:space="preserve">АСПЕКТЫ ОБЩЕГО АНАЛИЗА ИНФОРМАЦИИ САЙТОВ ОБРАЗОВАТЕЛЬНОЙ ОРГАНИЗАЦИИ</w:t>
      </w:r>
      <w:bookmarkEnd w:id="4"/>
      <w:r>
        <w:t xml:space="preserve"> </w:t>
      </w:r>
      <w:r/>
    </w:p>
    <w:p>
      <w:pPr>
        <w:pStyle w:val="1052"/>
        <w:ind w:left="1283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Специальный 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«Сведения об образовательной организации»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следующие подразделы: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«Основные сведения»;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«Структура и органы управления образовательной организацией»;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«Документы»;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«Образование»;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«Руководство»;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«Педагогический состав»;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«Материально-техническое обеспечение и оснащенность образовательного процесса. Доступная среда»;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«Платные образовательные услуги»;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«Финансово-хозяйственная деятельность»;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«Вакантные места для приема (перевода) обучающихся»;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«Стипендии и меры поддержки обучающихся»;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«Международное сотрудничество»;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«Организация питания в образовательной организации».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федеральных государственных образовательных стандартов, федеральных государственных требований или образовательных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стандартов, разработанных и утверждённых образовательной организацией самостоятельно, самостоятельно устанавливаемых требований (при наличии) в разделе в дополнение к вышеуказанным подразделам должен быть подраздел «Образовательные стандарты и требования».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«Основные сведения»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полном и сокращенном (при наличии) наименовании 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дате создания 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учредителе, учредителях 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месте нахождения 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режиме и графике работы 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контактных телефонах и адресах электронной почты образовательной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местах осуществления образовательной деятельности, сведения о которых в соответствии с Федеральным законом № 273-ФЗ не включаются в соответствующую запись в реестре лицензий на осуществление образовательной деятельности, в виде адреса места нахождения;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лицензии на осуществление образовательной деятельности (выписке из реестра лицензий на осуществление образовательной деятельности);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«Структура и органы управления образовательной организацией»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наименовании структурного подразделения (органа управления);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фамилиях, именах, отчествах (при наличии) и должности руководителей структурных подразделений;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месте нахождения структурных подразделений;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адресах официальных сайтов в сети «Интернет» структурных подразделений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адресах электронной почты структурных подразделений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подразделе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«Документы»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должны быть размещены копии следующих документов или электронные документы: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внутреннего распорядка обучающихся;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внутреннего трудового распорядка;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коллективный договор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локальные нормативные акты образовательной организации по основным вопросам организации и осуществления образовательной деятельности (в том числе регламентирующие правила приема обучающихся,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 рабочую программу воспитания и календарный план воспитательной работы);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отчет о результатах самообследования;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предписания органов, осуществляющих государственный контроль (надзор) в сфере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образования, отчетов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«Образование»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следующую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численности обучающихся по реализуе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численности обучающихся, являющихся иностранны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гражданами, по каждой общеобразовательной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языках образования (в форме электронного документа);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результатах приема по каждой профессии, специальности среднего профессионального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бюджетов субъектов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трудоустройстве выпускников в виде численности трудоустроенных выпускников прошлого учебного года, освоивших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основные профессиональные образовательные программы среднего профессионального и высшего образования,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«Руководство»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фамилия, имя, отчество (последнее - при наличии) руководителя, его заместителей;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должности руководителя, его заместителей;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контактные телефоны;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адреса электронной почты.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«Педагогический состав»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следующую информацию о персональном составе педагогических работников: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наличии) педагогического работника;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занимаемая должность (должности);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преподаваемые учебные предметы, курсы, дисциплины (модули);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ученая степень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ученое звание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повышении квалификации (за последние 3 года);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профессиональной переподготовке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ассистентуры-стажировки, шифр и наименование области науки, группы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«Материально-техническое обеспечение и оснащенность образовательного процесса. Доступная среда»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должен содержать следующую информацию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оборудованных учебных кабинетов;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оборудованных объектов для проведения практических занятий;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оборудованных библиотек;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оборудованных объектов спорта;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оборудованных средствах обучения и воспитания;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доступе к информационным системам и информационно-телекоммуникационным сетям;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электронных образовательных ресурсах, к которым обеспечивается доступ обучающихся;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количестве жилых помещений в общежитии, интернате, формировании платы за проживание в общежитии;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«Платные образовательные услуги»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следующие документы: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порядке оказания платных образовательных услуг, в том числе образец договора об оказании платных образовательных услуг;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стоимости обучения по каждой образовательной программе;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установлении размера платы, взимаемой с родителей (законных представителей) за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реализующей образовательные программы начального общего, основного общего или среднего общего образования.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«Финансово-хозяйственная деятельность»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следующую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объеме образовательной деятельности, фи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оказании платных образовательных услуг за счет средств физических (юридических)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поступлении финансовых и материальных средств по итогам финансового года;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расходовании финансовых и материальных средств по итогам финансового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аздел также должен содержать 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бюджетную смету образовательной организации в форме электронного документа.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«Вакантные места для приема (перевода) обучающихся»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 места: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финансируемые за счет бюджетных ассигнований федерального бюджета, бюджетов субъектов Российской Федерации, местных бюджетов;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финансируемые по договорам об образовании за счет средств физических и (или) юридических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«Стипендии и меры поддержки обучающихся»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и условиях предоставления обучающимся стипендий;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и условиях предоставления обучающимся мер социальной поддержки;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наличии общежития, интерната;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количестве жилых помещений в общежитии, интернате для иногородних обучающихся;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формировании платы за проживание в общежитии.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«Международное сотрудничество»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«Организация питания в образовательной организации»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условиях питания и охраны здоровья обучающихся;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меню ежедневного горячего питания;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информацию о наличии диетического меню в общеобразовательной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перечни юридических лиц и индивидуальных предпринимателей, оказывающих услуги по организации питания в общеобразовательной организации;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форму обратной связи для родителей обучающихся и ответы на вопросы родителей по питанию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«Образовательные стандарты и требования»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должен содержать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федеральных государственных образовательных стандартах;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федеральных государственных требованиях;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образовательных стандартах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самостоятельно устанавливаемых образовательной организацией высшего образования требованиях (при наличии).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8"/>
        <w:ind w:left="1135"/>
        <w:jc w:val="left"/>
      </w:pPr>
      <w:r/>
      <w:r/>
    </w:p>
    <w:p>
      <w:pPr>
        <w:pStyle w:val="758"/>
        <w:numPr>
          <w:ilvl w:val="0"/>
          <w:numId w:val="1"/>
        </w:numPr>
        <w:ind w:left="426" w:firstLine="709"/>
      </w:pPr>
      <w:r/>
      <w:bookmarkStart w:id="5" w:name="_Toc183009807"/>
      <w:r>
        <w:t xml:space="preserve">СРОКИ И ОСНОВНЫЕ ТРЕБОВАНИЯ ПРОВЕДЕНИЯ АНАЛИЗА ИНФОРМАЦИОННОЙ ОТКРЫТОСТИ ОФИЦИАЛЬНОГО САЙТА ОБРАЗОВАТЕЛЬНОЙ ОРГАНИЗАЦИИ</w:t>
      </w:r>
      <w:bookmarkEnd w:id="5"/>
      <w:r/>
      <w:r/>
    </w:p>
    <w:p>
      <w:pPr>
        <w:pStyle w:val="758"/>
        <w:ind w:left="426"/>
        <w:jc w:val="left"/>
      </w:pPr>
      <w:r/>
      <w:r/>
    </w:p>
    <w:p>
      <w:pPr>
        <w:pStyle w:val="1052"/>
        <w:numPr>
          <w:ilvl w:val="1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Этапы работы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анализу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2"/>
          <w:numId w:val="3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Первый этап: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критери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сайтов образовательных 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соответствии с нормативно-правовыми актами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(Приложение 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образовательных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организаций, участвующих в проведении анализа 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(первоочередной анализ информационной открытости производится по образовательным учреждения, подведомственным Комитету по образованию Санкт-Петербурга);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пределение сроков анализа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каждого типа ОУ (февраль-октябрь).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2"/>
          <w:numId w:val="3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 этап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соответствии с разработанной формой анализа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2"/>
          <w:numId w:val="31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Третий этап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одготовка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первичных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сводов по результатам анализа 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ерепроверка данных, вызывающих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вопросы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внесение соответствующих исправлений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ктуализация данных по возможности анализа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ранее не доступных для анализа (технические работы сайта; смена сайта; реорганизация ОУ);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одготовка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итоговых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сводов по результатам анализа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ормирование справок по результатам анализа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информационной открытости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сайтов образовательных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выявлении изменений законодательства РФ в отношении информационной открытости официальных сайтов образовательных организаций, необходим пересмотр подхода к анализу информационной открытости официальных сайтов образовательных организаций.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Дополнительные аспекты анализа информационной открытости официальных сайтов образовательных организаций: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адровое обеспечение образовательного процесса;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еречень реализуемых программ;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чебные планы;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онтингент обучающихся;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акантные места для приема (перевода) обучающихся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тчет о трудоустройстве выпускников (для образовательных учреждений СПО);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тчет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самообследовани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езультаты приемной кампании;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Возможен анализ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дополнительных разделов, которые размещаются, опубликовываются по решению образовательной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2"/>
        <w:numPr>
          <w:ilvl w:val="1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анализе сайта образовательной организации необходимо учитывать специфику образовательного учреждения, отмечая, какие показатели являются неприменимыми для данного сайта.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850" w:bottom="1134" w:left="1701" w:header="1134" w:footer="708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Чек-лист анализа сайта образовательного учреждения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03"/>
        <w:tblpPr w:horzAnchor="text" w:tblpXSpec="left" w:vertAnchor="text" w:tblpY="1" w:leftFromText="180" w:topFromText="0" w:rightFromText="180" w:bottomFromText="0"/>
        <w:tblW w:w="14737" w:type="dxa"/>
        <w:tblLayout w:type="fixed"/>
        <w:tblLook w:val="04A0" w:firstRow="1" w:lastRow="0" w:firstColumn="1" w:lastColumn="0" w:noHBand="0" w:noVBand="1"/>
      </w:tblPr>
      <w:tblGrid>
        <w:gridCol w:w="7083"/>
        <w:gridCol w:w="283"/>
        <w:gridCol w:w="4678"/>
        <w:gridCol w:w="2693"/>
      </w:tblGrid>
      <w:tr>
        <w:tblPrEx/>
        <w:trPr/>
        <w:tc>
          <w:tcPr>
            <w:gridSpan w:val="4"/>
            <w:tcW w:w="147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 xml:space="preserve">ОБЩИЕ ПОКАЗАТЕЛИ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специального раздела «Сведения об образовательной организации»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должен называться </w:t>
            </w:r>
            <w:r>
              <w:rPr>
                <w:rFonts w:ascii="Times New Roman" w:hAnsi="Times New Roman" w:cs="Times New Roman"/>
                <w:color w:val="000000"/>
              </w:rPr>
              <w:t xml:space="preserve">«Сведения об образовательной организации»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Механизм навигации представлен на каждой странице специального раздела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Меню навигации представлено на каждой странице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Доступ к специальному разделу осуществляется с главной (основной) страницы Сайта, а также из основного навигационного меню Сайта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раздел в основном меню/ на главной странице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Страницы специального раздела доступны в информационно-телекоммуникационной сети «Интернет» без дополнительной регистрации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 к страницам без регистрации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Версия для слабовидящих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ссылки на главной странице.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Ссылки на официальные сайты Министерства науки и высшего образования Российской Федерации и Министерства просвещения Российской Федерации в сети «Интернет»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Размещается на главной странице сайта.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раздела «Противодействие коррупции»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- Приказ Минтруда России от 07.10.2013 №530н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размещена на главной странице.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Нормативные правовые и иные акты в сфере противодействия коррупции»;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«Антикоррупционная экспертиза»;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материалы»;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«Формы документов, связанных с противодействием коррупции, для заполнения»;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«Сведения о доходах, расходах, об имуществе и обязательствах имущественного характера»;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7366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«Комиссия по соблюдению требований к служебному поведению и урегулированию конфликта интересов (аттестационная комиссия)»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 xml:space="preserve">ПОДРАЗДЕЛ «ОСНОВНЫЕ СВЕДЕНИЯ»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полном и сокращенном (при наличии) наименовании образовательной организации;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дате создания образовательной организации;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регистрации текущего юридического лица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об учредителе, учредителях образовательной организации;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обо всех учредителях, о местонахождении, телефонах, адресах сайтов и электронной почты, руководителях, графике работы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месте нахождения образовательной организации;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режиме и графике работы образовательной организации;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контактных телефонах и адресах электронной почты образовательной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я о местах осуществления образовательной деятельности, сведения о которых в соответствии с Федеральным законом № 273-ФЗ не включаются в соответствующую запись в реестре лицензий на осуществление образовательной деятельности, в виде адреса места нахождения;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pStyle w:val="1052"/>
              <w:ind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Указываются в том числе следующие данные или информация об их отсутствии: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52"/>
              <w:numPr>
                <w:ilvl w:val="0"/>
                <w:numId w:val="8"/>
              </w:numPr>
              <w:ind w:left="105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осуществления образовательной деятельности при использовании сетевой формы реализации образовательных программ;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52"/>
              <w:numPr>
                <w:ilvl w:val="0"/>
                <w:numId w:val="8"/>
              </w:numPr>
              <w:ind w:left="105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проведения практики;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52"/>
              <w:numPr>
                <w:ilvl w:val="0"/>
                <w:numId w:val="8"/>
              </w:numPr>
              <w:ind w:left="105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проведения практической подготовки обучающихся;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52"/>
              <w:numPr>
                <w:ilvl w:val="0"/>
                <w:numId w:val="8"/>
              </w:numPr>
              <w:ind w:left="105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проведения государственной итоговой аттестации;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52"/>
              <w:numPr>
                <w:ilvl w:val="0"/>
                <w:numId w:val="8"/>
              </w:numPr>
              <w:ind w:left="105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осуществления образовательной деятельности по дополнительным образовательным программам;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052"/>
              <w:numPr>
                <w:ilvl w:val="0"/>
                <w:numId w:val="8"/>
              </w:numPr>
              <w:ind w:left="105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осуществления образовательной деятельности по основным программам профессионального обучения.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лицензии на осуществление образовательной деятельности (выписке из реестра лицензий на осуществление образовательной деятельности);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7"/>
              </w:numPr>
              <w:ind w:left="313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наличии или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b/>
              </w:rPr>
              <w:t xml:space="preserve"> ПОДРАЗДЕЛ «СТРУКТУРА И ОРГАНЫ УПРАВЛЕНИЯ ОБРАЗОВАТЕЛЬНОЙ ОРГАНИЗАЦИЕЙ»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наименовании структурного подразделения (органа управления);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фамилиях, именах, отчествах (при наличии) и должности руководителей структурных подразделений;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месте нахождения структурных подразделений;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об адресах официальных сайтов в сети «Интернет» структурных подразделений;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об адресах электронной почты структурных подразделений;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наличии положений о структурных подразделениях (об органах управления) с приложением указанных положений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документ с электронной подписью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</w:rPr>
              <w:t xml:space="preserve"> ПОДРАЗДЕЛ «ДОКУМЕНТЫ»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Устав образовательной организации;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документ с электронной подписью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Правила внутреннего распорядка обучающихся;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Правила внутреннего трудового распорядка;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Коллективный договор (при наличии);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документ с электронной подписью или информация об отсутствии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Локальные нормативные акты образовательной организации по основным вопросам организации и осуществления образовательной деятельности: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документ с электронной подписью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Правила приема обучающихся;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Режим занятий обучающихся;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0"/>
              </w:numPr>
              <w:ind w:left="3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Формы, периодичность и порядок текущего контроля успеваемости и промежуточной аттестации обучающихся;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0"/>
              </w:numPr>
              <w:ind w:left="3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Порядок и основания перевода, отчисления и восстановления обучающихся;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0"/>
              </w:numPr>
              <w:ind w:left="3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0"/>
              </w:numPr>
              <w:ind w:left="3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Рабочая программа воспитания и календарный план воспитательной работы.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Отчет о результатах самообследования;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Предписания органов, осуществляющих государственный контроль (надзор) в сфере образования, отчетов об исполнении таких предписаний.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Сканированные документы или информация об отсутствии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Размещаются 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</w:rPr>
              <w:t xml:space="preserve"> ПОДРАЗДЕЛ «ОБРАЗОВАНИЕ»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ind w:left="-47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реализуемых образовательных программах с указ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с указанием для каждой из них следующей информации: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программы,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уровне общего или профессионального образования;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Наименовании образовательной программы (для общеобразовательных программ);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форме обучения (за исключением образовательных программ дошкольного образования);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Нормативном сроке обучения,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коде и наименовании профессии, специальности (специальностей),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Направления (направлений) подготовки или укрупненной группе профессий, специальностей и направлений подготовки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1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шифре и наименовании области науки, группы научных специальностей, научной специальности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(для образовательных программ высшего образования по программам подготовки научных и научно-педагогических кадров в аспирантуре (адъюнктуре)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направлениях и результатах научной (научно-исследовательской) деятельности и научно-исследовательской базе для ее осуществления (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для образовательных организаций высшего образования и образовательных организаций дополнительного профессионального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численности обучающихся по реализуемым образовательным программам за счет: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Электронный документ с указанием даты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бюджетных ассигнований федерального бюджета,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договорам об образовании за счет средств физических и (или) юридических лиц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численности обучающихся, являющихся иностранны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ми гражданами, по каждой общеобразовательной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языках образования;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документ с электронной подписью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результатах приема с указанием средней суммы набранных баллов по всем вступительным испытаниям, а также о результатах перевода, восстановления и отчисления;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его образования.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VI</w:t>
            </w:r>
            <w:r>
              <w:rPr>
                <w:rFonts w:ascii="Times New Roman" w:hAnsi="Times New Roman" w:cs="Times New Roman"/>
                <w:b/>
              </w:rPr>
              <w:t xml:space="preserve"> ПОДРАЗДЕЛ «РУКОВОДСТВО»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Фамилия, имя, отчество (последнее - при наличии) руководителя, его заместителей;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Должности руководителя, его заместителей;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Контактные телефоны;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Адреса электронной почты.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VII</w:t>
            </w:r>
            <w:r>
              <w:rPr>
                <w:rFonts w:ascii="Times New Roman" w:hAnsi="Times New Roman" w:cs="Times New Roman"/>
                <w:b/>
              </w:rPr>
              <w:t xml:space="preserve"> ПОДРАЗДЕЛ «ПЕДАГОГИЧЕСКИЙ СОСТАВ»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ind w:left="-47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Фамилия, имя, отчество (последнее - при наличии) педагогического работника;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Занимаемая должность (должности);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Преподаваемые учебные предметы, курсы, дисциплины (модули);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Ученая степень;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Ученое звание;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Сведения о повышении квалификации (за последние 3 года);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Сведения о профессиональной переподготовке (при наличии);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VIII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МАТЕРИАЛЬНО-ТЕХНИЧЕСКОЕ ОБЕСПЕЧЕНИЕ И ОСНАЩЕННОСТЬ ОБРАЗОВАТЕЛЬНОГО ПРОЦЕССА. ДОСТУПНАЯ СРЕДА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размещается на странице. Допустимо сделать ссылки на подразделы.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оборудованных учебных кабинетов;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оборудованных объектов для проведения практических занятий;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оборудованных библиотек;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оборудованных объектов спорта;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оборудованных средствах обучения и воспитания;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доступе к информационным системам и информационно-телекоммуникационным сетям;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электронных образовательных ресурсах, к которым обеспечивается доступ обучающихся;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количестве жилых помещений в общежитии, интернате, формировании платы за проживание в общежитии.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специальных условиях для получения образования инвалидами и лицами с ограниченными возможностями здоровья: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обеспечении доступа в здания образовательной организации, в том числе в общежитие, интернат, приспособленных для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использования инвалидами и лицами с ограниченными возможностями здоровья;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4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IX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ПЛАТНЫЕ ОБРАЗОВАТЕЛЬНЫЕ УСЛУГИ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порядке оказания платных образовательных услуг, в том числе образец договора об оказании платных образовательных услуг;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отсутствии. При наличии - электронный документ с электронной подписью.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утверждении стоимости обучения по каждой образовательной программе;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отсутствии. При наличии - электронный документ с электронной подписью.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установлении размера платы, взимаемой с родителей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в образовательной организации, реализующей образовательные программы начального общего, основного общего или среднего общего образования.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отсутствии. При наличии - электронный документ с электронной подписью.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ФИНАНСОВО-ХОЗЯЙСТВЕННАЯ ДЕЯТЕЛЬНОСТЬ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объеме образовательной деятельности, финансовое обеспечение которой осуществляется за счет: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предоставляется в виде текста/таблицы/ электронного документа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6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Бюджетных ассигнований федерального бюджета,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6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Бюджетов субъектов Российской Федерации,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6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Местных бюджетов,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16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договорам об оказании платных образовательных услуг за счет средств физических (юридических) лиц;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поступлении финансовых и материальных средств по итогам финансового года;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расходовании финансовых и материальных средств по итогам финансового года.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бюджетная смета образовательной организации в форме электронного документа.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документ с электронной подписью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XI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ВАКАНТНЫЕ МЕСТА ДЛЯ ПРИЕМА (ПЕРЕВОДА) ОБУЧАЮЩИХСЯ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Информацию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 места: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 с указанием даты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Финансируемые за счет бюджетных ассигнований федерального бюджета, бюджетов субъектов Российской Федерации, местных бюджетов;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Финансируемые по договорам об образовании за счет средств физических и (или) юридических лиц.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XII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СТИПЕНДИИ И МЕРЫ ПОДДЕРЖКИ ОБУЧАЮЩИХСЯ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313" w:hanging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и условиях предоставления обучающимся стипендий;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и условиях предоставления обучающимся мер социальной поддержки;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наличии общежития, интерната;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количестве жилых помещений в общежитии, интернате для иногородних обучающихся;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 формировании платы за проживание в общежитии.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XIII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МЕЖДУНАРОДНОЕ СОТРУДНИЧЕСТВО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9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заключенных и планируемых к заключению договорах с иностранными и (или) международными организациями по вопросам образования и науки.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XIV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ОРГАНИЗАЦИЯ ПИТАНИЯ В ОБРАЗОВАТЕЛЬНОЙ ОРГАНИЗАЦИИ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0"/>
        </w:trPr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об условиях питания и охраны здоровья обучающихся;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2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меню ежедневного горячего питания;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2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информацию о наличии диетического меню в общеобразовательной организации;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2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Перечни юридических лиц и индивидуальных предпринимателей, оказывающих услуги по организации питания в общеобразовательной организации;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2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1"/>
                <w:numId w:val="20"/>
              </w:num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Форма обратной связи для родителей обучающихся и ответы на вопросы родителей по питанию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147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XV</w:t>
            </w:r>
            <w:r>
              <w:rPr>
                <w:rFonts w:ascii="Times New Roman" w:hAnsi="Times New Roman" w:cs="Times New Roman"/>
                <w:b/>
              </w:rPr>
              <w:t xml:space="preserve"> ПОДРАЗДЕЛ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ОБРАЗОВАТЕЛЬНЫЕ СТАНДАРТЫ И ТРЕБОВАНИЯ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0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1-наличие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 – отсутствие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н/п- не применимо к ОУ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?-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требует дополнительного анализа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федеральных государственных образовательных стандартах;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наличии или отсутствии, размещается в виде активных ссылок, электронных документов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федеральных государственных требованиях;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об образовательных стандартах;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83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самостоятельно устанавливаемых образовательной организацией высшего образования требованиях.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>
        <w:numFmt w:val="chicago"/>
      </w:footnotePr>
      <w:endnotePr/>
      <w:type w:val="nextPage"/>
      <w:pgSz w:w="16838" w:h="11906" w:orient="landscape"/>
      <w:pgMar w:top="1134" w:right="850" w:bottom="1134" w:left="1701" w:header="1134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0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color w:val="000000"/>
      </w:rPr>
      <w:fldChar w:fldCharType="begin"/>
    </w:r>
    <w:r>
      <w:rPr>
        <w:rFonts w:ascii="Times New Roman" w:hAnsi="Times New Roman" w:eastAsia="Times New Roman" w:cs="Times New Roman"/>
        <w:color w:val="000000"/>
      </w:rPr>
      <w:instrText xml:space="preserve">PAGE</w:instrText>
    </w:r>
    <w:r>
      <w:rPr>
        <w:rFonts w:ascii="Times New Roman" w:hAnsi="Times New Roman" w:eastAsia="Times New Roman" w:cs="Times New Roman"/>
        <w:color w:val="000000"/>
      </w:rPr>
      <w:fldChar w:fldCharType="separate"/>
    </w:r>
    <w:r>
      <w:rPr>
        <w:rFonts w:ascii="Times New Roman" w:hAnsi="Times New Roman" w:eastAsia="Times New Roman" w:cs="Times New Roman"/>
        <w:color w:val="000000"/>
      </w:rPr>
      <w:t xml:space="preserve">21</w:t>
    </w:r>
    <w:r>
      <w:rPr>
        <w:rFonts w:ascii="Times New Roman" w:hAnsi="Times New Roman" w:eastAsia="Times New Roman" w:cs="Times New Roman"/>
        <w:color w:val="000000"/>
      </w:rPr>
      <w:fldChar w:fldCharType="end"/>
    </w:r>
    <w:r>
      <w:rPr>
        <w:rFonts w:ascii="Times New Roman" w:hAnsi="Times New Roman" w:eastAsia="Times New Roman" w:cs="Times New Roman"/>
        <w:color w:val="000000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color w:val="000000"/>
      </w:rPr>
    </w:r>
    <w:r>
      <w:rPr>
        <w:rFonts w:ascii="Times New Roman" w:hAnsi="Times New Roman" w:eastAsia="Times New Roman" w:cs="Times New Roman"/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firstLine="14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4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6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8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62" w:hanging="180"/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567" w:firstLine="142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02" w:hanging="360"/>
      </w:pPr>
      <w:rPr>
        <w:rFonts w:hint="default"/>
        <w:b w:val="0"/>
      </w:rPr>
    </w:lvl>
    <w:lvl w:ilvl="1">
      <w:start w:val="1"/>
      <w:numFmt w:val="none"/>
      <w:isLgl w:val="false"/>
      <w:suff w:val="tab"/>
      <w:lvlText w:val="6.1"/>
      <w:lvlJc w:val="left"/>
      <w:pPr>
        <w:ind w:left="2822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542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4262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982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702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6422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142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862" w:hanging="18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7"/>
  </w:num>
  <w:num w:numId="2">
    <w:abstractNumId w:val="8"/>
  </w:num>
  <w:num w:numId="3">
    <w:abstractNumId w:val="4"/>
    <w:lvlOverride w:ilvl="0">
      <w:lvl w:ilvl="0">
        <w:start w:val="1"/>
        <w:numFmt w:val="decimal"/>
        <w:isLgl w:val="false"/>
        <w:suff w:val="space"/>
        <w:lvlText w:val="%1."/>
        <w:lvlJc w:val="left"/>
        <w:pPr>
          <w:ind w:left="567" w:firstLine="142"/>
        </w:pPr>
        <w:rPr>
          <w:rFonts w:hint="default"/>
        </w:r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right"/>
        <w:pPr>
          <w:ind w:left="6480" w:hanging="180"/>
        </w:pPr>
      </w:lvl>
    </w:lvlOverride>
  </w:num>
  <w:num w:numId="4">
    <w:abstractNumId w:val="31"/>
  </w:num>
  <w:num w:numId="5">
    <w:abstractNumId w:val="25"/>
  </w:num>
  <w:num w:numId="6">
    <w:abstractNumId w:val="9"/>
  </w:num>
  <w:num w:numId="7">
    <w:abstractNumId w:val="32"/>
  </w:num>
  <w:num w:numId="8">
    <w:abstractNumId w:val="19"/>
  </w:num>
  <w:num w:numId="9">
    <w:abstractNumId w:val="22"/>
  </w:num>
  <w:num w:numId="10">
    <w:abstractNumId w:val="24"/>
  </w:num>
  <w:num w:numId="11">
    <w:abstractNumId w:val="3"/>
  </w:num>
  <w:num w:numId="12">
    <w:abstractNumId w:val="23"/>
  </w:num>
  <w:num w:numId="13">
    <w:abstractNumId w:val="20"/>
  </w:num>
  <w:num w:numId="14">
    <w:abstractNumId w:val="5"/>
  </w:num>
  <w:num w:numId="15">
    <w:abstractNumId w:val="11"/>
  </w:num>
  <w:num w:numId="16">
    <w:abstractNumId w:val="29"/>
  </w:num>
  <w:num w:numId="17">
    <w:abstractNumId w:val="7"/>
  </w:num>
  <w:num w:numId="18">
    <w:abstractNumId w:val="10"/>
  </w:num>
  <w:num w:numId="19">
    <w:abstractNumId w:val="28"/>
  </w:num>
  <w:num w:numId="20">
    <w:abstractNumId w:val="30"/>
  </w:num>
  <w:num w:numId="21">
    <w:abstractNumId w:val="14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13"/>
  </w:num>
  <w:num w:numId="27">
    <w:abstractNumId w:val="21"/>
  </w:num>
  <w:num w:numId="28">
    <w:abstractNumId w:val="26"/>
  </w:num>
  <w:num w:numId="29">
    <w:abstractNumId w:val="6"/>
  </w:num>
  <w:num w:numId="30">
    <w:abstractNumId w:val="27"/>
  </w:num>
  <w:num w:numId="31">
    <w:abstractNumId w:val="16"/>
  </w:num>
  <w:num w:numId="32">
    <w:abstractNumId w:val="1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</w:style>
  <w:style w:type="paragraph" w:styleId="758">
    <w:name w:val="Heading 1"/>
    <w:basedOn w:val="757"/>
    <w:link w:val="1058"/>
    <w:uiPriority w:val="9"/>
    <w:qFormat/>
    <w:pPr>
      <w:ind w:left="1742"/>
      <w:jc w:val="center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759">
    <w:name w:val="Heading 2"/>
    <w:basedOn w:val="757"/>
    <w:next w:val="757"/>
    <w:link w:val="8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106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761">
    <w:name w:val="Heading 4"/>
    <w:basedOn w:val="757"/>
    <w:next w:val="757"/>
    <w:link w:val="885"/>
    <w:uiPriority w:val="9"/>
    <w:semiHidden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886"/>
    <w:uiPriority w:val="9"/>
    <w:semiHidden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887"/>
    <w:uiPriority w:val="9"/>
    <w:semiHidden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64">
    <w:name w:val="Heading 7"/>
    <w:basedOn w:val="757"/>
    <w:next w:val="757"/>
    <w:link w:val="8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basedOn w:val="757"/>
    <w:next w:val="757"/>
    <w:link w:val="8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basedOn w:val="757"/>
    <w:next w:val="757"/>
    <w:link w:val="8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table" w:styleId="770">
    <w:name w:val="Plain Table 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7">
    <w:name w:val="Title"/>
    <w:basedOn w:val="757"/>
    <w:next w:val="757"/>
    <w:link w:val="892"/>
    <w:uiPriority w:val="10"/>
    <w:qFormat/>
    <w:pPr>
      <w:contextualSpacing/>
      <w:spacing w:before="300" w:after="200"/>
    </w:pPr>
    <w:rPr>
      <w:sz w:val="48"/>
      <w:szCs w:val="48"/>
    </w:rPr>
  </w:style>
  <w:style w:type="table" w:styleId="848" w:customStyle="1">
    <w:name w:val="Table Normal4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Table Normal3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Table Normal2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 простая 112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Таблица простая 212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Таблица простая 31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 w:customStyle="1">
    <w:name w:val="Таблица простая 41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 простая 51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1 светл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Таблица-сетка 2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Таблица-сетка 3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Таблица-сетка 41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 w:customStyle="1">
    <w:name w:val="Таблица-сетка 5 темн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1" w:customStyle="1">
    <w:name w:val="Таблица-сетка 6 цветн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Таблица-сетка 7 цветн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Список-таблица 1 светлая1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Список-таблица 2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4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Список-таблица 5 темн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Список-таблица 6 цветн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Список-таблица 7 цветная1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70" w:customStyle="1">
    <w:name w:val="Heading 2 Char"/>
    <w:basedOn w:val="767"/>
    <w:uiPriority w:val="9"/>
    <w:rPr>
      <w:rFonts w:ascii="Arial" w:hAnsi="Arial" w:eastAsia="Arial" w:cs="Arial"/>
      <w:sz w:val="34"/>
    </w:rPr>
  </w:style>
  <w:style w:type="character" w:styleId="871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Heading 5 Char"/>
    <w:basedOn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Heading 6 Char"/>
    <w:basedOn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Heading 7 Char"/>
    <w:basedOn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Heading 8 Char"/>
    <w:basedOn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Heading 9 Char"/>
    <w:basedOn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877" w:customStyle="1">
    <w:name w:val="Title Char"/>
    <w:basedOn w:val="767"/>
    <w:uiPriority w:val="10"/>
    <w:rPr>
      <w:sz w:val="48"/>
      <w:szCs w:val="48"/>
    </w:rPr>
  </w:style>
  <w:style w:type="character" w:styleId="878" w:customStyle="1">
    <w:name w:val="Subtitle Char"/>
    <w:basedOn w:val="767"/>
    <w:uiPriority w:val="11"/>
    <w:rPr>
      <w:sz w:val="24"/>
      <w:szCs w:val="24"/>
    </w:rPr>
  </w:style>
  <w:style w:type="character" w:styleId="879" w:customStyle="1">
    <w:name w:val="Quote Char"/>
    <w:uiPriority w:val="29"/>
    <w:rPr>
      <w:i/>
    </w:rPr>
  </w:style>
  <w:style w:type="character" w:styleId="880" w:customStyle="1">
    <w:name w:val="Intense Quote Char"/>
    <w:uiPriority w:val="30"/>
    <w:rPr>
      <w:i/>
    </w:rPr>
  </w:style>
  <w:style w:type="character" w:styleId="881" w:customStyle="1">
    <w:name w:val="Endnote Text Char"/>
    <w:uiPriority w:val="99"/>
    <w:rPr>
      <w:sz w:val="20"/>
    </w:rPr>
  </w:style>
  <w:style w:type="character" w:styleId="882" w:customStyle="1">
    <w:name w:val="Heading 1 Char"/>
    <w:basedOn w:val="767"/>
    <w:uiPriority w:val="9"/>
    <w:rPr>
      <w:rFonts w:ascii="Arial" w:hAnsi="Arial" w:eastAsia="Arial" w:cs="Arial"/>
      <w:sz w:val="40"/>
      <w:szCs w:val="40"/>
    </w:rPr>
  </w:style>
  <w:style w:type="character" w:styleId="883" w:customStyle="1">
    <w:name w:val="Заголовок 2 Знак"/>
    <w:basedOn w:val="767"/>
    <w:link w:val="759"/>
    <w:uiPriority w:val="9"/>
    <w:rPr>
      <w:rFonts w:ascii="Arial" w:hAnsi="Arial" w:eastAsia="Arial" w:cs="Arial"/>
      <w:sz w:val="34"/>
    </w:rPr>
  </w:style>
  <w:style w:type="character" w:styleId="884" w:customStyle="1">
    <w:name w:val="Heading 3 Char"/>
    <w:basedOn w:val="767"/>
    <w:uiPriority w:val="9"/>
    <w:rPr>
      <w:rFonts w:ascii="Arial" w:hAnsi="Arial" w:eastAsia="Arial" w:cs="Arial"/>
      <w:sz w:val="30"/>
      <w:szCs w:val="30"/>
    </w:rPr>
  </w:style>
  <w:style w:type="character" w:styleId="885" w:customStyle="1">
    <w:name w:val="Заголовок 4 Знак"/>
    <w:basedOn w:val="767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886" w:customStyle="1">
    <w:name w:val="Заголовок 5 Знак"/>
    <w:basedOn w:val="76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887" w:customStyle="1">
    <w:name w:val="Заголовок 6 Знак"/>
    <w:basedOn w:val="767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888" w:customStyle="1">
    <w:name w:val="Заголовок 7 Знак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9" w:customStyle="1">
    <w:name w:val="Заголовок 8 Знак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890" w:customStyle="1">
    <w:name w:val="Заголовок 9 Знак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891">
    <w:name w:val="No Spacing"/>
    <w:uiPriority w:val="1"/>
    <w:qFormat/>
    <w:pPr>
      <w:spacing w:after="0" w:line="240" w:lineRule="auto"/>
    </w:pPr>
  </w:style>
  <w:style w:type="character" w:styleId="892" w:customStyle="1">
    <w:name w:val="Заголовок Знак"/>
    <w:basedOn w:val="767"/>
    <w:link w:val="847"/>
    <w:uiPriority w:val="10"/>
    <w:rPr>
      <w:sz w:val="48"/>
      <w:szCs w:val="48"/>
    </w:rPr>
  </w:style>
  <w:style w:type="paragraph" w:styleId="893">
    <w:name w:val="Subtitle"/>
    <w:basedOn w:val="757"/>
    <w:next w:val="757"/>
    <w:link w:val="894"/>
    <w:pPr>
      <w:spacing w:before="200" w:after="200"/>
    </w:pPr>
    <w:rPr>
      <w:sz w:val="24"/>
      <w:szCs w:val="24"/>
    </w:rPr>
  </w:style>
  <w:style w:type="character" w:styleId="894" w:customStyle="1">
    <w:name w:val="Подзаголовок Знак"/>
    <w:basedOn w:val="767"/>
    <w:link w:val="893"/>
    <w:uiPriority w:val="11"/>
    <w:rPr>
      <w:sz w:val="24"/>
      <w:szCs w:val="24"/>
    </w:rPr>
  </w:style>
  <w:style w:type="paragraph" w:styleId="895">
    <w:name w:val="Quote"/>
    <w:basedOn w:val="757"/>
    <w:next w:val="757"/>
    <w:link w:val="896"/>
    <w:uiPriority w:val="29"/>
    <w:qFormat/>
    <w:pPr>
      <w:ind w:left="720" w:right="720"/>
    </w:pPr>
    <w:rPr>
      <w:i/>
    </w:rPr>
  </w:style>
  <w:style w:type="character" w:styleId="896" w:customStyle="1">
    <w:name w:val="Цитата 2 Знак"/>
    <w:link w:val="895"/>
    <w:uiPriority w:val="29"/>
    <w:rPr>
      <w:i/>
    </w:rPr>
  </w:style>
  <w:style w:type="paragraph" w:styleId="897">
    <w:name w:val="Intense Quote"/>
    <w:basedOn w:val="757"/>
    <w:next w:val="757"/>
    <w:link w:val="8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8" w:customStyle="1">
    <w:name w:val="Выделенная цитата Знак"/>
    <w:link w:val="897"/>
    <w:uiPriority w:val="30"/>
    <w:rPr>
      <w:i/>
    </w:rPr>
  </w:style>
  <w:style w:type="character" w:styleId="899" w:customStyle="1">
    <w:name w:val="Header Char"/>
    <w:basedOn w:val="767"/>
    <w:uiPriority w:val="99"/>
  </w:style>
  <w:style w:type="character" w:styleId="900" w:customStyle="1">
    <w:name w:val="Footer Char"/>
    <w:basedOn w:val="767"/>
    <w:uiPriority w:val="99"/>
  </w:style>
  <w:style w:type="paragraph" w:styleId="901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902" w:customStyle="1">
    <w:name w:val="Caption Char"/>
    <w:uiPriority w:val="99"/>
  </w:style>
  <w:style w:type="table" w:styleId="903">
    <w:name w:val="Table Grid"/>
    <w:basedOn w:val="76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5" w:customStyle="1">
    <w:name w:val="Таблица простая 1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6" w:customStyle="1">
    <w:name w:val="Таблица простая 21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7" w:customStyle="1">
    <w:name w:val="Таблица простая 31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8" w:customStyle="1">
    <w:name w:val="Таблица простая 41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Таблица простая 51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0" w:customStyle="1">
    <w:name w:val="Таблица-сетка 1 светл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Таблица-сетка 2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Таблица-сетка 3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Таблица-сетка 41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2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33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4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35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6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37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38" w:customStyle="1">
    <w:name w:val="Таблица-сетка 5 темн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45" w:customStyle="1">
    <w:name w:val="Таблица-сетка 6 цветн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6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47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48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49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0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51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52" w:customStyle="1">
    <w:name w:val="Таблица-сетка 7 цветн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Список-таблица 1 светлая1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Список-таблица 2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7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68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69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70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71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72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3" w:customStyle="1">
    <w:name w:val="Список-таблица 3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Список-таблица 4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Список-таблица 5 темн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1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2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4" w:customStyle="1">
    <w:name w:val="Список-таблица 6 цветн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5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96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97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98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99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000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01" w:customStyle="1">
    <w:name w:val="Список-таблица 7 цветная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9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10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1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2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3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14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5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6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17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8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9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0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21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2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3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24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25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26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27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28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29" w:customStyle="1">
    <w:name w:val="Footnote Text Char"/>
    <w:uiPriority w:val="99"/>
    <w:rPr>
      <w:sz w:val="18"/>
    </w:rPr>
  </w:style>
  <w:style w:type="paragraph" w:styleId="1030">
    <w:name w:val="endnote text"/>
    <w:basedOn w:val="757"/>
    <w:link w:val="1031"/>
    <w:uiPriority w:val="99"/>
    <w:semiHidden/>
    <w:unhideWhenUsed/>
    <w:pPr>
      <w:spacing w:after="0" w:line="240" w:lineRule="auto"/>
    </w:pPr>
    <w:rPr>
      <w:sz w:val="20"/>
    </w:rPr>
  </w:style>
  <w:style w:type="character" w:styleId="1031" w:customStyle="1">
    <w:name w:val="Текст концевой сноски Знак"/>
    <w:link w:val="1030"/>
    <w:uiPriority w:val="99"/>
    <w:rPr>
      <w:sz w:val="20"/>
    </w:rPr>
  </w:style>
  <w:style w:type="character" w:styleId="1032">
    <w:name w:val="endnote reference"/>
    <w:basedOn w:val="767"/>
    <w:uiPriority w:val="99"/>
    <w:semiHidden/>
    <w:unhideWhenUsed/>
    <w:rPr>
      <w:vertAlign w:val="superscript"/>
    </w:rPr>
  </w:style>
  <w:style w:type="paragraph" w:styleId="1033">
    <w:name w:val="toc 1"/>
    <w:basedOn w:val="757"/>
    <w:next w:val="757"/>
    <w:uiPriority w:val="39"/>
    <w:unhideWhenUsed/>
    <w:pPr>
      <w:spacing w:after="57"/>
    </w:pPr>
  </w:style>
  <w:style w:type="paragraph" w:styleId="1034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1035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1036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1037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1038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1039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1040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1041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1042">
    <w:name w:val="TOC Heading"/>
    <w:uiPriority w:val="39"/>
    <w:unhideWhenUsed/>
    <w:qFormat/>
  </w:style>
  <w:style w:type="paragraph" w:styleId="1043">
    <w:name w:val="table of figures"/>
    <w:basedOn w:val="757"/>
    <w:next w:val="757"/>
    <w:uiPriority w:val="99"/>
    <w:unhideWhenUsed/>
    <w:pPr>
      <w:spacing w:after="0"/>
    </w:pPr>
  </w:style>
  <w:style w:type="paragraph" w:styleId="1044">
    <w:name w:val="Header"/>
    <w:basedOn w:val="757"/>
    <w:link w:val="10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5" w:customStyle="1">
    <w:name w:val="Верхний колонтитул Знак"/>
    <w:basedOn w:val="767"/>
    <w:link w:val="1044"/>
    <w:uiPriority w:val="99"/>
  </w:style>
  <w:style w:type="paragraph" w:styleId="1046">
    <w:name w:val="Footer"/>
    <w:basedOn w:val="757"/>
    <w:link w:val="10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7" w:customStyle="1">
    <w:name w:val="Нижний колонтитул Знак"/>
    <w:basedOn w:val="767"/>
    <w:link w:val="1046"/>
    <w:uiPriority w:val="99"/>
  </w:style>
  <w:style w:type="paragraph" w:styleId="1048">
    <w:name w:val="footnote text"/>
    <w:basedOn w:val="757"/>
    <w:link w:val="104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49" w:customStyle="1">
    <w:name w:val="Текст сноски Знак"/>
    <w:basedOn w:val="767"/>
    <w:link w:val="1048"/>
    <w:uiPriority w:val="99"/>
    <w:semiHidden/>
    <w:rPr>
      <w:sz w:val="20"/>
      <w:szCs w:val="20"/>
    </w:rPr>
  </w:style>
  <w:style w:type="character" w:styleId="1050">
    <w:name w:val="footnote reference"/>
    <w:basedOn w:val="767"/>
    <w:uiPriority w:val="99"/>
    <w:semiHidden/>
    <w:unhideWhenUsed/>
    <w:rPr>
      <w:vertAlign w:val="superscript"/>
    </w:rPr>
  </w:style>
  <w:style w:type="character" w:styleId="1051">
    <w:name w:val="Hyperlink"/>
    <w:basedOn w:val="767"/>
    <w:uiPriority w:val="99"/>
    <w:unhideWhenUsed/>
    <w:rPr>
      <w:color w:val="0000ff"/>
      <w:u w:val="single"/>
    </w:rPr>
  </w:style>
  <w:style w:type="paragraph" w:styleId="1052">
    <w:name w:val="List Paragraph"/>
    <w:basedOn w:val="757"/>
    <w:uiPriority w:val="99"/>
    <w:qFormat/>
    <w:pPr>
      <w:contextualSpacing/>
      <w:ind w:left="720"/>
    </w:pPr>
  </w:style>
  <w:style w:type="character" w:styleId="1053">
    <w:name w:val="annotation reference"/>
    <w:basedOn w:val="767"/>
    <w:uiPriority w:val="99"/>
    <w:semiHidden/>
    <w:unhideWhenUsed/>
    <w:rPr>
      <w:sz w:val="16"/>
      <w:szCs w:val="16"/>
    </w:rPr>
  </w:style>
  <w:style w:type="paragraph" w:styleId="1054">
    <w:name w:val="annotation text"/>
    <w:basedOn w:val="757"/>
    <w:link w:val="105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55" w:customStyle="1">
    <w:name w:val="Текст примечания Знак"/>
    <w:basedOn w:val="767"/>
    <w:link w:val="1054"/>
    <w:uiPriority w:val="99"/>
    <w:semiHidden/>
    <w:rPr>
      <w:sz w:val="20"/>
      <w:szCs w:val="20"/>
    </w:rPr>
  </w:style>
  <w:style w:type="paragraph" w:styleId="1056">
    <w:name w:val="annotation subject"/>
    <w:basedOn w:val="1054"/>
    <w:next w:val="1054"/>
    <w:link w:val="1057"/>
    <w:uiPriority w:val="99"/>
    <w:semiHidden/>
    <w:unhideWhenUsed/>
    <w:rPr>
      <w:b/>
      <w:bCs/>
    </w:rPr>
  </w:style>
  <w:style w:type="character" w:styleId="1057" w:customStyle="1">
    <w:name w:val="Тема примечания Знак"/>
    <w:basedOn w:val="1055"/>
    <w:link w:val="1056"/>
    <w:uiPriority w:val="99"/>
    <w:semiHidden/>
    <w:rPr>
      <w:b/>
      <w:bCs/>
      <w:sz w:val="20"/>
      <w:szCs w:val="20"/>
    </w:rPr>
  </w:style>
  <w:style w:type="character" w:styleId="1058" w:customStyle="1">
    <w:name w:val="Заголовок 1 Знак"/>
    <w:basedOn w:val="767"/>
    <w:link w:val="758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table" w:styleId="1059" w:customStyle="1">
    <w:name w:val="Table Normal1"/>
    <w:uiPriority w:val="2"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60">
    <w:name w:val="Body Text"/>
    <w:basedOn w:val="757"/>
    <w:link w:val="106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061" w:customStyle="1">
    <w:name w:val="Основной текст Знак"/>
    <w:basedOn w:val="767"/>
    <w:link w:val="1060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062" w:customStyle="1">
    <w:name w:val="Table Paragraph"/>
    <w:basedOn w:val="757"/>
    <w:uiPriority w:val="1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1063" w:customStyle="1">
    <w:name w:val="s_1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64" w:customStyle="1">
    <w:name w:val="formattext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65" w:customStyle="1">
    <w:name w:val="Заголовок 3 Знак"/>
    <w:basedOn w:val="767"/>
    <w:link w:val="760"/>
    <w:uiPriority w:val="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066">
    <w:name w:val="Normal (Web)"/>
    <w:basedOn w:val="75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67" w:customStyle="1">
    <w:name w:val="search_result"/>
    <w:basedOn w:val="767"/>
  </w:style>
  <w:style w:type="paragraph" w:styleId="1068">
    <w:name w:val="Balloon Text"/>
    <w:basedOn w:val="757"/>
    <w:link w:val="10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69" w:customStyle="1">
    <w:name w:val="Текст выноски Знак"/>
    <w:basedOn w:val="767"/>
    <w:link w:val="1068"/>
    <w:uiPriority w:val="99"/>
    <w:semiHidden/>
    <w:rPr>
      <w:rFonts w:ascii="Tahoma" w:hAnsi="Tahoma" w:cs="Tahoma"/>
      <w:sz w:val="16"/>
      <w:szCs w:val="16"/>
    </w:rPr>
  </w:style>
  <w:style w:type="character" w:styleId="1070" w:customStyle="1">
    <w:name w:val="docdata"/>
    <w:basedOn w:val="767"/>
  </w:style>
  <w:style w:type="character" w:styleId="1071" w:customStyle="1">
    <w:name w:val="dt-r"/>
    <w:basedOn w:val="767"/>
  </w:style>
  <w:style w:type="table" w:styleId="1072" w:customStyle="1">
    <w:name w:val="StGen0"/>
    <w:basedOn w:val="1059"/>
    <w:tblPr>
      <w:tblStyleRowBandSize w:val="1"/>
      <w:tblStyleColBandSize w:val="1"/>
    </w:tblPr>
  </w:style>
  <w:style w:type="table" w:styleId="1073" w:customStyle="1">
    <w:name w:val="StGen1"/>
    <w:basedOn w:val="105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74" w:customStyle="1">
    <w:name w:val="StGen2"/>
    <w:basedOn w:val="850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75" w:customStyle="1">
    <w:name w:val="StGen3"/>
    <w:basedOn w:val="850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76" w:customStyle="1">
    <w:name w:val="StGen4"/>
    <w:basedOn w:val="85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77" w:customStyle="1">
    <w:name w:val="StGen5"/>
    <w:basedOn w:val="849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78" w:customStyle="1">
    <w:name w:val="StGen6"/>
    <w:basedOn w:val="849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79" w:customStyle="1">
    <w:name w:val="StGen7"/>
    <w:basedOn w:val="849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1080" w:customStyle="1">
    <w:name w:val="pc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81" w:customStyle="1">
    <w:name w:val="pj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82" w:customStyle="1">
    <w:name w:val="pr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83" w:customStyle="1">
    <w:name w:val="headertext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84" w:customStyle="1">
    <w:name w:val="StGen01"/>
    <w:basedOn w:val="848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85" w:customStyle="1">
    <w:name w:val="StGen11"/>
    <w:basedOn w:val="848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86" w:customStyle="1">
    <w:name w:val="StGen21"/>
    <w:basedOn w:val="848"/>
    <w:pPr>
      <w:spacing w:after="0" w:line="240" w:lineRule="auto"/>
      <w:widowControl w:val="off"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1087" w:customStyle="1">
    <w:name w:val="Неразрешенное упоминание1"/>
    <w:basedOn w:val="767"/>
    <w:uiPriority w:val="99"/>
    <w:semiHidden/>
    <w:unhideWhenUsed/>
    <w:rPr>
      <w:color w:val="605e5c"/>
      <w:shd w:val="clear" w:color="auto" w:fill="e1dfdd"/>
    </w:rPr>
  </w:style>
  <w:style w:type="character" w:styleId="1088">
    <w:name w:val="FollowedHyperlink"/>
    <w:basedOn w:val="767"/>
    <w:uiPriority w:val="99"/>
    <w:semiHidden/>
    <w:unhideWhenUsed/>
    <w:rPr>
      <w:color w:val="954f72" w:themeColor="followedHyperlink"/>
      <w:u w:val="single"/>
    </w:rPr>
  </w:style>
  <w:style w:type="paragraph" w:styleId="1089" w:customStyle="1">
    <w:name w:val="ConsPlusTitle"/>
    <w:pPr>
      <w:spacing w:after="0" w:line="240" w:lineRule="auto"/>
      <w:widowControl w:val="off"/>
    </w:pPr>
    <w:rPr>
      <w:rFonts w:eastAsia="Times New Roman"/>
      <w:b/>
      <w:szCs w:val="20"/>
    </w:rPr>
  </w:style>
  <w:style w:type="table" w:styleId="1090" w:customStyle="1">
    <w:name w:val="Сетка таблицы1"/>
    <w:basedOn w:val="768"/>
    <w:uiPriority w:val="39"/>
    <w:pPr>
      <w:spacing w:after="0" w:line="240" w:lineRule="auto"/>
    </w:pPr>
    <w:rPr>
      <w:rFonts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1" w:customStyle="1">
    <w:name w:val="Сетка таблицы2"/>
    <w:basedOn w:val="768"/>
    <w:next w:val="903"/>
    <w:uiPriority w:val="39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92">
    <w:name w:val="line number"/>
    <w:basedOn w:val="767"/>
    <w:uiPriority w:val="99"/>
    <w:semiHidden/>
    <w:unhideWhenUsed/>
  </w:style>
  <w:style w:type="paragraph" w:styleId="1093" w:customStyle="1">
    <w:name w:val="ConsPlusCell"/>
    <w:uiPriority w:val="99"/>
    <w:pPr>
      <w:spacing w:after="0" w:line="240" w:lineRule="auto"/>
      <w:widowControl w:val="off"/>
    </w:pPr>
    <w:rPr>
      <w:rFonts w:eastAsia="Times New Roman"/>
    </w:rPr>
  </w:style>
  <w:style w:type="character" w:styleId="1094">
    <w:name w:val="Strong"/>
    <w:basedOn w:val="767"/>
    <w:uiPriority w:val="22"/>
    <w:qFormat/>
    <w:rPr>
      <w:b/>
      <w:bCs/>
    </w:rPr>
  </w:style>
  <w:style w:type="character" w:styleId="1095">
    <w:name w:val="Emphasis"/>
    <w:basedOn w:val="767"/>
    <w:uiPriority w:val="20"/>
    <w:qFormat/>
    <w:rPr>
      <w:i/>
      <w:iCs/>
    </w:rPr>
  </w:style>
  <w:style w:type="character" w:styleId="1096" w:customStyle="1">
    <w:name w:val="Неразрешенное упоминание2"/>
    <w:basedOn w:val="767"/>
    <w:uiPriority w:val="99"/>
    <w:semiHidden/>
    <w:unhideWhenUsed/>
    <w:rPr>
      <w:color w:val="605e5c"/>
      <w:shd w:val="clear" w:color="auto" w:fill="e1dfdd"/>
    </w:rPr>
  </w:style>
  <w:style w:type="paragraph" w:styleId="1097" w:customStyle="1">
    <w:name w:val="dt-p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98" w:customStyle="1">
    <w:name w:val="dt-m"/>
    <w:basedOn w:val="76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0DE9-867B-4351-B9C0-85B646C0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Леник</dc:creator>
  <cp:lastModifiedBy>Шаповалов Сергей Анатольевич</cp:lastModifiedBy>
  <cp:revision>3</cp:revision>
  <dcterms:created xsi:type="dcterms:W3CDTF">2024-12-04T05:42:00Z</dcterms:created>
  <dcterms:modified xsi:type="dcterms:W3CDTF">2024-12-04T07:54:32Z</dcterms:modified>
</cp:coreProperties>
</file>